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bookmarkStart w:id="0" w:name="_GoBack"/>
      <w:bookmarkEnd w:id="0"/>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中华人民共和国药品管理法实施条例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2002年8月4日中华人民共和国国务院令第360号公布　</w:t>
      </w:r>
      <w:r>
        <w:rPr>
          <w:rFonts w:ascii="Times New Roman" w:hAnsi="Times New Roman" w:eastAsia="楷体_GB2312" w:cs="Times New Roman"/>
          <w:sz w:val="32"/>
          <w:szCs w:val="32"/>
        </w:rPr>
        <w:t>根据2016年2月6日《国务院关于修改部分行政法规的决定》第一次修订　根据2019年3月2日《国务院关于修改部分行政法规的决定》第二次修订)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根据《中华人民共和国药品管理法》(以下简称《药品管理法》)，制定本条例。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国务院药品监督管理部门设置国家药品检验机构。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药品监督管理部门可以在本行政区域内设置药品检验机构。地方药品检验机构的设置规划由省、自治区、直辖市人民政府药品监督管理部门提出，报省、自治区、直辖市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国务院和省、自治区、直辖市人民政府的药品监督管理部门可以根据需要，确定符合药品检验条件的检验机构承担药品检验工作。</w:t>
      </w:r>
    </w:p>
    <w:p>
      <w:pPr>
        <w:pStyle w:val="3"/>
        <w:bidi w:val="0"/>
      </w:pPr>
      <w:r>
        <w:t>第二章　药品生产企业管理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开办药品生产企业，申办人应当向拟办企业所在地省、自治区、直辖市人民政府药品监督管理部门提出申请。省、自治区、直辖市人民政府药品监督管理部门应当自收到申请之日起30个工作日内，依据《药品管理法》第八条规定的开办条件组织验收；验收合格的，发给《药品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药品生产企业变更《药品生产许可证》许可事项的，应当在许可事项发生变更30日前，向原发证机关申请《药品生产许可证》变更登记；未经批准，不得变更许可事项。原发证机关应当自收到申请之日起15个工作日内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《药品生产质量管理规范》认证证书的格式由国务院药品监督管理部门统一规定。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《药品生产许可证》有效期为5年。有效期届满，需要继续生产药品的，持证企业应当在许可证有效期届满前6个月，按照国务院药品监督管理部门的规定申请换发《药品生产许可证》。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药品生产企业终止生产药品或者关闭的，《药品生产许可证》由原发证部门缴销。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药品生产企业生产药品所使用的原料药，必须具有国务院药品监督管理部门核发的药品批准文号或者进口药品注册证书、医药产品注册证书；但是，未实施批准文号管理的中药材、中药饮片除外。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依据《药品管理法》第十三条规定，接受委托生产药品的，受托方必须是持有与其受托生产的药品相适应的《药品生产质量管理规范》认证证书的药品生产企业。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疫苗、血液制品和国务院药品监督管理部门规定的其他药品，不得委托生产。</w:t>
      </w:r>
    </w:p>
    <w:p>
      <w:pPr>
        <w:pStyle w:val="3"/>
        <w:bidi w:val="0"/>
      </w:pPr>
      <w:r>
        <w:t>第三章　药品经营企业管理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开办药品批发企业和药品零售企业，应当自取得《药品经营许可证》之日起30日内，向发给其《药品经营许可证》的药品监督管理部门或者药品监督管理机构申请《药品经营质量管理规范》认证。受理申请的药品监督管理部门或者药品监督管理机构应当自收到申请之日起3个月内，按照国务院药品监督管理部门的规定，组织对申请认证的药品批发企业或者药品零售企业是否符合《药品经营质量管理规范》进行认证；认证合格的，发给认证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国家实行处方药和非处方药分类管理制度。国家根据非处方药品的安全性，将非处方药分为甲类非处方药和乙类非处方药。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《药品经营许可证》有效期为5年。有效期届满，需要继续经营药品的，持证企业应当在许可证有效期届满前6个月，按照国务院药品监督管理部门的规定申请换发《药品经营许可证》。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药品经营企业终止经营药品或者关闭的，《药品经营许可证》由原发证机关缴销。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pStyle w:val="3"/>
        <w:bidi w:val="0"/>
      </w:pPr>
      <w:r>
        <w:t>第四章　医疗机构的药剂管理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省、自治区、直辖市人民政府卫生行政部门和药品监督管理部门应当在各自收到申请之日起30个工作日内，作出是否同意或者批准的决定。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医疗机构新增配制剂型或者改变配制场所的，应当经所在地省、自治区、直辖市人民政府药品监督管理部门验收合格后，依照前款规定办理《医疗机构制剂许可证》变更登记。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《医疗机构制剂许可证》有效期为5年。有效期届满，需要继续配制制剂的，医疗机构应当在许可证有效期届满前6个月，按照国务院药品监督管理部门的规定申请换发《医疗机构制剂许可证》。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医疗机构终止配制制剂或者关闭的，《医疗机构制剂许可证》由原发证机关缴销。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医疗机构配制制剂，必须按照国务院药品监督管理部门的规定报送有关资料和样品，经所在地省、自治区、直辖市人民政府药品监督管理部门批准，并发给制剂批准文号后，方可配制。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医疗机构配制的制剂不得在市场上销售或者变相销售，不得发布医疗机构制剂广告。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发生灾情、疫情、突发事件或者临床急需而市场没有供应时，经国务院或者省、自治区、直辖市人民政府的药品监督管理部门批准，在规定期限内，医疗机构配制的制剂可以在指定的医疗机构之间调剂使用。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国务院药品监督管理部门规定的特殊制剂的调剂使用以及省、自治区、直辖市之间医疗机构制剂的调剂使用，必须经国务院药品监督管理部门批准。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医疗机构审核和调配处方的药剂人员必须是依法经资格认定的药学技术人员。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医疗机构向患者提供的药品应当与诊疗范围相适应，并凭执业医师或者执业助理医师的处方调配。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计划生育技术服务机构采购和向患者提供药品，其范围应当与经批准的服务范围相一致，并凭执业医师或者执业助理医师的处方调配。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pStyle w:val="3"/>
        <w:bidi w:val="0"/>
      </w:pPr>
      <w:r>
        <w:t>第五章　药品管理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研制新药，需要进行临床试验的，应当依照《药品管理法》第二十九条的规定，经国务院药品监督管理部门批准。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药物临床试验机构进行药物临床试验，应当事先告知受试者或者其监护人真实情况，并取得其书面同意。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国务院药品监督管理部门根据保护公众健康的要求，可以对药品生产企业生产的新药品种设立不超过5年的监测期；在监测期内，不得批准其他企业生产和进口。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国家对获得生产或者销售含有新型化学成份药品许可的生产者或者销售者提交的自行取得且未披露的试验数据和其他数据实施保护，任何人不得对该未披露的试验数据和其他数据进行不正当的商业利用。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药品生产者或者销售者获得生产、销售新型化学成份药品的许可证明文件之日起6年内，对其他申请人未经已获得许可的申请人同意，使用前款数据申请生产、销售新型化学成份药品许可的，药品监督管理部门不予许可；但是，其他申请人提交自行取得数据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除下列情形外，药品监督管理部门不得披露本条第一款规定的数据：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(一)公共利益需要；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已采取措施确保该类数据不会被不正当地进行商业利</w:t>
      </w:r>
      <w:r>
        <w:rPr>
          <w:rFonts w:ascii="Times New Roman" w:hAnsi="Times New Roman" w:eastAsia="仿宋_GB2312" w:cs="Times New Roman"/>
          <w:sz w:val="32"/>
          <w:szCs w:val="32"/>
        </w:rPr>
        <w:t>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进口药品，应当按照国务院药品监督管理部门的规定申请注册。国外企业生产的药品取得《进口药品注册证》，中国香港、澳门和台湾地区企业生产的药品取得《医药产品注册证》后，方可进口。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医疗机构因临床急需进口少量药品的，应当持《医疗机构执业许可证》向国务院药品监督管理部门提出申请；经批准后，方可进口。进口的药品应当在指定医疗机构内用于特定医疗目的。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口岸所在地药品监督管理部门应当通知药品检验机构对进口药品逐批进行抽查检验；但是，有《药品管理法》第四十一条规定情形的除外。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国家鼓励培育中药材。对集中规模化栽培养殖、质量可以控制并符合国务院药品监督管理部门规定条件的中药材品种，实行批准文号管理。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药品批准文号的再注册由省、自治区、直辖市人民政府药品监督管理部门审批，并报国务院药品监督管理部门备案；《进口药品注册证》、《医药产品注册证》的再注册由国务院药品监督管理部门审批。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非药品不得在其包装、标签、说明书及有关宣传资料上进行含有预防、治疗、诊断人体疾病等有关内容的宣传；但是，法律、行政法规另有规定的除外。</w:t>
      </w:r>
    </w:p>
    <w:p>
      <w:pPr>
        <w:pStyle w:val="3"/>
        <w:bidi w:val="0"/>
      </w:pPr>
      <w:r>
        <w:t>第六章　药品包装的管理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药品生产企业使用的直接接触药品的包装材料和容器，必须符合药用要求和保障人体健康、安全的标准。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直接接触药品的包装材料和容器的管理办法、产品目录和药用要求与标准，由国务院药品监督管理部门组织制定并公布。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生产中药饮片，应当选用与药品性质相适应的包装材料和容器；包装不符合规定的中药饮片，不得销售。中药饮片包装必须印有或者贴有标签。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中药饮片的标签必须注明品名、规格、产地、生产企业、产品批号、生产日期，实施批准文号管理的中药饮片还必须注明药品批准文号。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药品包装、标签、说明书必须依照《药品管理法》第五十四条和国务院药品监督管理部门的规定印制。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药品商品名称应当符合国务院药品监督管理部门的规定。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医疗机构配制制剂所使用的直接接触药品的包装材料和容器、制剂的标签和说明书应当符合《药品管理法》第六章和本条例的有关规定，并经省、自治区、直辖市人民政府药品监督管理部门批准。</w:t>
      </w:r>
    </w:p>
    <w:p>
      <w:pPr>
        <w:pStyle w:val="3"/>
        <w:bidi w:val="0"/>
      </w:pPr>
      <w:r>
        <w:t>第七章　药品价格和广告的管理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发布进口药品广告，应当依照前款规定向进口药品代理机构所在地省、自治区、直辖市人民政府药品监督管理部门申请药品广告批准文号。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经国务院或者省、自治区、直辖市人民政府的药品监督管理部门决定，责令暂停生产、销售和使用的药品，在暂停期间不得发布该品种药品广告；已经发布广告的，必须立即停止。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对违法发布药品广告，情节严重的，省、自治区、直辖市人民政府药品监督管理部门可以予以公告。</w:t>
      </w:r>
    </w:p>
    <w:p>
      <w:pPr>
        <w:pStyle w:val="3"/>
        <w:bidi w:val="0"/>
      </w:pPr>
      <w:r>
        <w:t>第八章　药品监督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药品监督管理部门(含省级人民政府药品监督管理部门依法设立的药品监督管理机构，下同)依法对药品的研制、生产、经营、使用实施监督检查。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药品抽样必须由两名以上药品监督检查人员实施，并按照国务院药品监督管理部门的规定进行抽样；被抽检方应当提供抽检样品，不得拒绝。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药品被抽检单位没有正当理由，拒绝抽查检验的，国务院药品监督管理部门和被抽检单位所在地省、自治区、直辖市人民政府药品监督管理部门可以宣布停止该单位拒绝抽检的药品上市销售和使用。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当事人对药品检验机构的检验结果有异议，申请复验的，应当向负责复验的药品检验机构提交书面申请、原药品检验报告书。复验的样品从原药品检验机构留样中抽取。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药品抽查检验，不得收取任何费用。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依据《药品管理法》和本条例的规定核发证书、进行药品注册、药品认证和实施药品审批检验及其强制性检验，可以收取费用。具体收费标准由国务院财政部门、国务院价格主管部门制定。</w:t>
      </w:r>
    </w:p>
    <w:p>
      <w:pPr>
        <w:pStyle w:val="3"/>
        <w:bidi w:val="0"/>
      </w:pPr>
      <w:r>
        <w:t>第九章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药品生产企业、药品经营企业有下列情形之一的，由药品监督管理部门依照《药品管理法》第七十九条的规定给予处罚：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(一)开办药品生产企业、药品生产企业新建药品生产车间、新增生产剂型，在国务院药品监督管理部门规定的时间内未通过《药品生产质量管理规范》认证，仍进行药品生产的；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(二)开办药品经营企业，在国务院药品监督管理部门规定的时间内未通过《药品经营质量管理规范》认证，仍进行药品经营的。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违反《药品管理法》第十三条的规定，擅自委托或者接受委托生产药品的，对委托方和受托方均依照《药品管理法》第七十四条的规定给予处罚。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未经批准，擅自在城乡集市贸易市场设点销售药品或者在城乡集市贸易市场设点销售的药品超出批准经营的药品范围的，依照《药品管理法》第七十三条的规定给予处罚。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未经批准，医疗机构擅自使用其他医疗机构配制的制剂的，依照《药品管理法》第八十条的规定给予处罚。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个人设置的门诊部、诊所等医疗机构向患者提供的药品超出规定的范围和品种的，依照《药品管理法》第七十三条的规定给予处罚。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医疗机构使用假药、劣药的，依照《药品管理法》第七十四条、第七十五条的规定给予处罚。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违反《药品管理法》第二十九条的规定，擅自进行临床试验的，对承担药物临床试验的机构，依照《药品管理法》第七十九条的规定给予处罚。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药品生产企业、药品经营企业生产、经营的药品及医疗机构配制的制剂，其包装、标签、说明书违反《药品管理法》及本条例规定的，依照《药品管理法》第八十六条的规定给予处罚。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篡改经批准的药品广告内容的，由药品监督管理部门责令广告主立即停止该药品广告的发布，并由原审批的药品监督管理部门依照《药品管理法》第九十二条的规定给予处罚。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未经省、自治区、直辖市人民政府药品监督管理部门批准，擅自发布药品广告的，药品监督管理部门发现后，应当通知广告监督管理部门依法查处。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违反《药品管理法》和本条例的规定，有下列行为之一的，由药品监督管理部门在《药品管理法》和本条例规定的处罚幅度内从重处罚：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(一)以麻醉药品、精神药品、医疗用毒性药品、放射性药品冒充其他药品，或者以其他药品冒充上述药品的；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(二)生产、销售以孕产妇、婴幼儿及儿童为主要使用对象的假药、劣药的；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(三)生产、销售的生物制品、血液制品属于假药、劣药的；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(四)生产、销售、使用假药、劣药，造成人员伤害后果的；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(五)生产、销售、使用假药、劣药，经处理后重犯的；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(六)拒绝、逃避监督检查，或者伪造、销毁、隐匿有关证据材料的，或者擅自动用查封、扣押物品的。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药品监督管理部门设置的派出机构，有权作出《药品管理法》和本条例规定的警告、罚款、没收违法生产、销售的药品和违法所得的行政处罚。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依照《药品管理法》和本条例的规定没收的物品，由药品监督管理部门按照规定监督处理。</w:t>
      </w:r>
    </w:p>
    <w:p>
      <w:pPr>
        <w:pStyle w:val="3"/>
        <w:bidi w:val="0"/>
      </w:pPr>
      <w:r>
        <w:t>第十章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药品合格证明和其他标识，是指药品生产批准证明文件、药品检验报告书、药品的包装、标签和说明书。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新药，是指未曾在中国境内上市销售的药品。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处方药，是指凭执业医师和执业助理医师处方方可购买、调配和使用的药品。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非处方药，是指由国务院药品监督管理部门公布的，不需要凭执业医师和执业助理医师处方，消费者可以自行判断、购买和使用的药品。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医疗机构制剂，是指医疗机构根据本单位临床需要经批准而配制、自用的固定处方制剂。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药品认证，是指药品监督管理部门对药品研制、生产、经营、使用单位实施相应质量管理规范进行检查、评价并决定是否发给相应认证证书的过程。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药品经营方式，是指药品批发和药品零售。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药品经营范围，是指经药品监督管理部门核准经营药品的品种类别。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药品批发企业，是指将购进的药品销售给药品生产企业、药品经营企业、医疗机构的药品经营企业。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药品零售企业，是指将购进的药品直接销售给消费者的药品经营企业。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w:t>
      </w:r>
      <w:r>
        <w:rPr>
          <w:rFonts w:ascii="Times New Roman" w:hAnsi="Times New Roman" w:eastAsia="仿宋_GB2312" w:cs="Times New Roman"/>
          <w:sz w:val="32"/>
          <w:szCs w:val="32"/>
        </w:rPr>
        <w:t>　《药品管理法》第四十一条中</w:t>
      </w:r>
      <w:r>
        <w:rPr>
          <w:rFonts w:hAnsi="宋体" w:cs="Times New Roman"/>
          <w:sz w:val="32"/>
          <w:szCs w:val="32"/>
        </w:rPr>
        <w:t>“</w:t>
      </w:r>
      <w:r>
        <w:rPr>
          <w:rFonts w:ascii="Times New Roman" w:hAnsi="Times New Roman" w:eastAsia="仿宋_GB2312" w:cs="Times New Roman"/>
          <w:sz w:val="32"/>
          <w:szCs w:val="32"/>
        </w:rPr>
        <w:t>首次在中国销售的药品</w:t>
      </w:r>
      <w:r>
        <w:rPr>
          <w:rFonts w:hAnsi="宋体" w:cs="Times New Roman"/>
          <w:sz w:val="32"/>
          <w:szCs w:val="32"/>
        </w:rPr>
        <w:t>”</w:t>
      </w:r>
      <w:r>
        <w:rPr>
          <w:rFonts w:ascii="Times New Roman" w:hAnsi="Times New Roman" w:eastAsia="仿宋_GB2312" w:cs="Times New Roman"/>
          <w:sz w:val="32"/>
          <w:szCs w:val="32"/>
        </w:rPr>
        <w:t>，是指国内或者国外药品生产企业第一次在中国销售的药品，包括不同药品生产企业生产的相同品种。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w:t>
      </w:r>
      <w:r>
        <w:rPr>
          <w:rFonts w:ascii="Times New Roman" w:hAnsi="Times New Roman" w:eastAsia="仿宋_GB2312" w:cs="Times New Roman"/>
          <w:sz w:val="32"/>
          <w:szCs w:val="32"/>
        </w:rPr>
        <w:t>　《药品管理法》第五十九条第二款</w:t>
      </w:r>
      <w:r>
        <w:rPr>
          <w:rFonts w:hAnsi="宋体" w:cs="Times New Roman"/>
          <w:sz w:val="32"/>
          <w:szCs w:val="32"/>
        </w:rPr>
        <w:t>“</w:t>
      </w:r>
      <w:r>
        <w:rPr>
          <w:rFonts w:ascii="Times New Roman" w:hAnsi="Times New Roman" w:eastAsia="仿宋_GB2312" w:cs="Times New Roman"/>
          <w:sz w:val="32"/>
          <w:szCs w:val="32"/>
        </w:rPr>
        <w:t>禁止药品的生产企业、经营企业或者其代理人以任何名义给予使用其药品的医疗机构的负责人、药品采购人员、医师等有关人员以财物或者其他利益</w:t>
      </w:r>
      <w:r>
        <w:rPr>
          <w:rFonts w:hAnsi="宋体" w:cs="Times New Roman"/>
          <w:sz w:val="32"/>
          <w:szCs w:val="32"/>
        </w:rPr>
        <w:t>”</w:t>
      </w:r>
      <w:r>
        <w:rPr>
          <w:rFonts w:ascii="Times New Roman" w:hAnsi="Times New Roman" w:eastAsia="仿宋_GB2312" w:cs="Times New Roman"/>
          <w:sz w:val="32"/>
          <w:szCs w:val="32"/>
        </w:rPr>
        <w:t>中的</w:t>
      </w:r>
      <w:r>
        <w:rPr>
          <w:rFonts w:hAnsi="宋体" w:cs="Times New Roman"/>
          <w:sz w:val="32"/>
          <w:szCs w:val="32"/>
        </w:rPr>
        <w:t>“</w:t>
      </w:r>
      <w:r>
        <w:rPr>
          <w:rFonts w:ascii="Times New Roman" w:hAnsi="Times New Roman" w:eastAsia="仿宋_GB2312" w:cs="Times New Roman"/>
          <w:sz w:val="32"/>
          <w:szCs w:val="32"/>
        </w:rPr>
        <w:t>财物或者其他利益</w:t>
      </w:r>
      <w:r>
        <w:rPr>
          <w:rFonts w:hAnsi="宋体" w:cs="Times New Roman"/>
          <w:sz w:val="32"/>
          <w:szCs w:val="32"/>
        </w:rPr>
        <w:t>”</w:t>
      </w:r>
      <w:r>
        <w:rPr>
          <w:rFonts w:ascii="Times New Roman" w:hAnsi="Times New Roman" w:eastAsia="仿宋_GB2312" w:cs="Times New Roman"/>
          <w:sz w:val="32"/>
          <w:szCs w:val="32"/>
        </w:rPr>
        <w:t>，是指药品的生产企业、经营企业或者其代理人向医疗机构的负责人、药品采购人员、医师等有关人员提供的目的在于影响其药品采购或者药品处方行为的不正当利益。</w:t>
      </w:r>
    </w:p>
    <w:p>
      <w:pPr>
        <w:pStyle w:val="10"/>
        <w:ind w:firstLine="640" w:firstLineChars="200"/>
        <w:rPr>
          <w:rFonts w:hint="eastAsia"/>
          <w:lang w:eastAsia="zh-CN"/>
        </w:rPr>
      </w:pPr>
      <w:r>
        <w:rPr>
          <w:rFonts w:ascii="Times New Roman" w:hAnsi="Times New Roman" w:eastAsia="黑体" w:cs="Times New Roman"/>
          <w:sz w:val="32"/>
          <w:szCs w:val="32"/>
        </w:rPr>
        <w:t>第八十条</w:t>
      </w:r>
      <w:r>
        <w:rPr>
          <w:rFonts w:ascii="Times New Roman" w:hAnsi="Times New Roman" w:eastAsia="仿宋_GB2312" w:cs="Times New Roman"/>
          <w:sz w:val="32"/>
          <w:szCs w:val="32"/>
        </w:rPr>
        <w:t>　本条例自2002年9月15日起施行。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AA6CD4"/>
    <w:rsid w:val="19B07609"/>
    <w:rsid w:val="19DB6C33"/>
    <w:rsid w:val="1A970B23"/>
    <w:rsid w:val="1ABC528A"/>
    <w:rsid w:val="1BAF2172"/>
    <w:rsid w:val="1C9212F7"/>
    <w:rsid w:val="1D3C1240"/>
    <w:rsid w:val="1D721751"/>
    <w:rsid w:val="1DA140F8"/>
    <w:rsid w:val="1FE16FBA"/>
    <w:rsid w:val="2037230C"/>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D7C1855"/>
    <w:rsid w:val="4DC87E21"/>
    <w:rsid w:val="4E4E7955"/>
    <w:rsid w:val="4E5A3350"/>
    <w:rsid w:val="4E6A2FDF"/>
    <w:rsid w:val="4EDF3D2B"/>
    <w:rsid w:val="4EED79F5"/>
    <w:rsid w:val="5080370D"/>
    <w:rsid w:val="512A1D93"/>
    <w:rsid w:val="5146198F"/>
    <w:rsid w:val="51F44E31"/>
    <w:rsid w:val="523F45D1"/>
    <w:rsid w:val="524F6E89"/>
    <w:rsid w:val="52695AB4"/>
    <w:rsid w:val="529D4C7B"/>
    <w:rsid w:val="53321729"/>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604363"/>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